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70" w:rsidRDefault="00364470" w:rsidP="00364470">
      <w:p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color w:val="1D2228"/>
          <w:sz w:val="27"/>
          <w:szCs w:val="27"/>
          <w:lang w:eastAsia="pt-BR"/>
        </w:rPr>
      </w:pPr>
    </w:p>
    <w:p w:rsidR="00B50C01" w:rsidRPr="00B50C01" w:rsidRDefault="00364470" w:rsidP="00B50C01">
      <w:pPr>
        <w:shd w:val="clear" w:color="auto" w:fill="FFFFFF"/>
        <w:spacing w:line="276" w:lineRule="auto"/>
        <w:jc w:val="center"/>
        <w:rPr>
          <w:rFonts w:ascii="Helvetica" w:eastAsia="Times New Roman" w:hAnsi="Helvetica" w:cs="Helvetica"/>
          <w:color w:val="1D2228"/>
          <w:sz w:val="52"/>
          <w:szCs w:val="52"/>
          <w:lang w:eastAsia="pt-BR"/>
        </w:rPr>
      </w:pPr>
      <w:r w:rsidRPr="00364470">
        <w:rPr>
          <w:rFonts w:ascii="Helvetica" w:eastAsia="Times New Roman" w:hAnsi="Helvetica" w:cs="Helvetica"/>
          <w:color w:val="1D2228"/>
          <w:sz w:val="52"/>
          <w:szCs w:val="52"/>
          <w:lang w:eastAsia="pt-BR"/>
        </w:rPr>
        <w:t xml:space="preserve">A Reconstrução Normativa dos Direitos Humanos </w:t>
      </w:r>
    </w:p>
    <w:p w:rsidR="00364470" w:rsidRPr="00B50C01" w:rsidRDefault="00364470" w:rsidP="00B50C01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1D2228"/>
          <w:sz w:val="52"/>
          <w:szCs w:val="52"/>
          <w:lang w:eastAsia="pt-BR"/>
        </w:rPr>
      </w:pPr>
      <w:proofErr w:type="gramStart"/>
      <w:r w:rsidRPr="00364470">
        <w:rPr>
          <w:rFonts w:ascii="Helvetica" w:eastAsia="Times New Roman" w:hAnsi="Helvetica" w:cs="Helvetica"/>
          <w:color w:val="1D2228"/>
          <w:sz w:val="52"/>
          <w:szCs w:val="52"/>
          <w:lang w:eastAsia="pt-BR"/>
        </w:rPr>
        <w:t>entre</w:t>
      </w:r>
      <w:proofErr w:type="gramEnd"/>
      <w:r w:rsidRPr="00364470">
        <w:rPr>
          <w:rFonts w:ascii="Helvetica" w:eastAsia="Times New Roman" w:hAnsi="Helvetica" w:cs="Helvetica"/>
          <w:color w:val="1D2228"/>
          <w:sz w:val="52"/>
          <w:szCs w:val="52"/>
          <w:lang w:eastAsia="pt-BR"/>
        </w:rPr>
        <w:t xml:space="preserve"> </w:t>
      </w:r>
      <w:r w:rsidRPr="00B50C01">
        <w:rPr>
          <w:rFonts w:ascii="Helvetica" w:eastAsia="Times New Roman" w:hAnsi="Helvetica" w:cs="Helvetica"/>
          <w:color w:val="1D2228"/>
          <w:sz w:val="52"/>
          <w:szCs w:val="52"/>
          <w:lang w:eastAsia="pt-BR"/>
        </w:rPr>
        <w:t xml:space="preserve">o Naturalismo e o </w:t>
      </w:r>
      <w:proofErr w:type="spellStart"/>
      <w:r w:rsidRPr="00B50C01">
        <w:rPr>
          <w:rFonts w:ascii="Helvetica" w:eastAsia="Times New Roman" w:hAnsi="Helvetica" w:cs="Helvetica"/>
          <w:color w:val="1D2228"/>
          <w:sz w:val="52"/>
          <w:szCs w:val="52"/>
          <w:lang w:eastAsia="pt-BR"/>
        </w:rPr>
        <w:t>Normativismo</w:t>
      </w:r>
      <w:proofErr w:type="spellEnd"/>
    </w:p>
    <w:p w:rsidR="0034159B" w:rsidRDefault="0034159B" w:rsidP="00364470">
      <w:p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color w:val="1D2228"/>
          <w:sz w:val="27"/>
          <w:szCs w:val="27"/>
          <w:lang w:eastAsia="pt-BR"/>
        </w:rPr>
      </w:pPr>
    </w:p>
    <w:p w:rsidR="00B50C01" w:rsidRDefault="00B50C01" w:rsidP="00364470">
      <w:p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color w:val="1D2228"/>
          <w:sz w:val="27"/>
          <w:szCs w:val="27"/>
          <w:lang w:eastAsia="pt-BR"/>
        </w:rPr>
      </w:pPr>
    </w:p>
    <w:p w:rsidR="00B50C01" w:rsidRDefault="00B50C01" w:rsidP="00364470">
      <w:p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color w:val="1D2228"/>
          <w:sz w:val="27"/>
          <w:szCs w:val="27"/>
          <w:lang w:eastAsia="pt-BR"/>
        </w:rPr>
      </w:pPr>
    </w:p>
    <w:p w:rsidR="0034159B" w:rsidRPr="00B50C01" w:rsidRDefault="0034159B" w:rsidP="0034159B">
      <w:p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color w:val="1D2228"/>
          <w:sz w:val="44"/>
          <w:szCs w:val="44"/>
          <w:lang w:eastAsia="pt-BR"/>
        </w:rPr>
      </w:pPr>
      <w:r w:rsidRPr="00B50C01">
        <w:rPr>
          <w:rFonts w:ascii="Helvetica" w:eastAsia="Times New Roman" w:hAnsi="Helvetica" w:cs="Helvetica"/>
          <w:color w:val="1D2228"/>
          <w:sz w:val="44"/>
          <w:szCs w:val="44"/>
          <w:lang w:eastAsia="pt-BR"/>
        </w:rPr>
        <w:t>09 de abril de 2019 às 19h</w:t>
      </w:r>
    </w:p>
    <w:p w:rsidR="0034159B" w:rsidRPr="00364470" w:rsidRDefault="0034159B" w:rsidP="0034159B">
      <w:p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color w:val="1D2228"/>
          <w:sz w:val="44"/>
          <w:szCs w:val="44"/>
          <w:lang w:eastAsia="pt-BR"/>
        </w:rPr>
      </w:pPr>
      <w:r w:rsidRPr="00B50C01">
        <w:rPr>
          <w:rFonts w:ascii="Helvetica" w:eastAsia="Times New Roman" w:hAnsi="Helvetica" w:cs="Helvetica"/>
          <w:color w:val="1D2228"/>
          <w:sz w:val="44"/>
          <w:szCs w:val="44"/>
          <w:lang w:eastAsia="pt-BR"/>
        </w:rPr>
        <w:t>Auditório do CFH</w:t>
      </w:r>
    </w:p>
    <w:p w:rsidR="0034159B" w:rsidRDefault="0034159B" w:rsidP="00364470">
      <w:p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color w:val="1D2228"/>
          <w:sz w:val="27"/>
          <w:szCs w:val="27"/>
          <w:lang w:eastAsia="pt-BR"/>
        </w:rPr>
      </w:pPr>
      <w:bookmarkStart w:id="0" w:name="_GoBack"/>
      <w:bookmarkEnd w:id="0"/>
    </w:p>
    <w:p w:rsidR="0034159B" w:rsidRDefault="0034159B" w:rsidP="00364470">
      <w:p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color w:val="1D2228"/>
          <w:sz w:val="27"/>
          <w:szCs w:val="27"/>
          <w:lang w:eastAsia="pt-BR"/>
        </w:rPr>
      </w:pPr>
    </w:p>
    <w:p w:rsidR="0034159B" w:rsidRPr="0034159B" w:rsidRDefault="0034159B" w:rsidP="0034159B">
      <w:pPr>
        <w:shd w:val="clear" w:color="auto" w:fill="FFFFFF"/>
        <w:spacing w:after="180" w:line="240" w:lineRule="auto"/>
        <w:jc w:val="left"/>
        <w:textAlignment w:val="baseline"/>
        <w:outlineLvl w:val="1"/>
        <w:rPr>
          <w:rFonts w:ascii="Tahoma" w:eastAsia="Times New Roman" w:hAnsi="Tahoma" w:cs="Tahoma"/>
          <w:b/>
          <w:bCs/>
          <w:sz w:val="29"/>
          <w:szCs w:val="29"/>
          <w:lang w:eastAsia="pt-BR"/>
        </w:rPr>
      </w:pPr>
      <w:proofErr w:type="spellStart"/>
      <w:r w:rsidRPr="0034159B">
        <w:rPr>
          <w:rFonts w:ascii="Tahoma" w:eastAsia="Times New Roman" w:hAnsi="Tahoma" w:cs="Tahoma"/>
          <w:b/>
          <w:bCs/>
          <w:sz w:val="29"/>
          <w:szCs w:val="29"/>
          <w:lang w:eastAsia="pt-BR"/>
        </w:rPr>
        <w:t>Nythamar</w:t>
      </w:r>
      <w:proofErr w:type="spellEnd"/>
      <w:r w:rsidRPr="0034159B">
        <w:rPr>
          <w:rFonts w:ascii="Tahoma" w:eastAsia="Times New Roman" w:hAnsi="Tahoma" w:cs="Tahoma"/>
          <w:b/>
          <w:bCs/>
          <w:sz w:val="29"/>
          <w:szCs w:val="29"/>
          <w:lang w:eastAsia="pt-BR"/>
        </w:rPr>
        <w:t xml:space="preserve"> </w:t>
      </w:r>
      <w:proofErr w:type="spellStart"/>
      <w:r w:rsidRPr="0034159B">
        <w:rPr>
          <w:rFonts w:ascii="Tahoma" w:eastAsia="Times New Roman" w:hAnsi="Tahoma" w:cs="Tahoma"/>
          <w:b/>
          <w:bCs/>
          <w:sz w:val="29"/>
          <w:szCs w:val="29"/>
          <w:lang w:eastAsia="pt-BR"/>
        </w:rPr>
        <w:t>Hilario</w:t>
      </w:r>
      <w:proofErr w:type="spellEnd"/>
      <w:r w:rsidRPr="0034159B">
        <w:rPr>
          <w:rFonts w:ascii="Tahoma" w:eastAsia="Times New Roman" w:hAnsi="Tahoma" w:cs="Tahoma"/>
          <w:b/>
          <w:bCs/>
          <w:sz w:val="29"/>
          <w:szCs w:val="29"/>
          <w:lang w:eastAsia="pt-BR"/>
        </w:rPr>
        <w:t xml:space="preserve"> Fernandes de Oliveira Junior</w:t>
      </w:r>
    </w:p>
    <w:p w:rsidR="0034159B" w:rsidRPr="00364470" w:rsidRDefault="0034159B" w:rsidP="003415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pt-BR"/>
        </w:rPr>
      </w:pP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Após cursar dois anos de Engenharia Eletrônica (Básico) na Escola Politécnica da FESP, fez graduação e mestrado em Teologia (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Licence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et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Maîtrise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en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Théologie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) na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Faculté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Théologie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Réformée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d'Aix-en-Provence (1985, 1987), mestrado em Filosofia (Villanova University, 1990) e doutorado em Filosofia (Ph.D., 1994) pela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State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University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of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New York em Stony Brook. Tem pós-doutorado na New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School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for Social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Research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(1997-98), na University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of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Miami (2015, 2016), na London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School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of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Economics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e na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Universität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Kassel (2004-05, 2012), onde foi pesquisador bolsista da Alexander von Humboldt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Stiftung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. Tem sido Pesquisador do CNPq desde 1995, e atuado como consultor ad hoc do CNPq, da CAPES e da FAPERGS. Foi professor adjunto da Universidade Federal de Santa Catarina (UFSC), 1994-99, e tem sido professor visitante na University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of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Toledo, Ohio (EUA), desde 2007-08. Atualmente é professor titular da Pontifícia Universidade Católica do Rio Grande do Sul (PUCRS),</w:t>
      </w:r>
      <w:r w:rsidRPr="0034159B">
        <w:rPr>
          <w:rFonts w:ascii="Tahoma" w:hAnsi="Tahoma" w:cs="Tahoma"/>
          <w:b/>
          <w:color w:val="666666"/>
          <w:sz w:val="20"/>
          <w:szCs w:val="20"/>
          <w:shd w:val="clear" w:color="auto" w:fill="FFFFFF"/>
        </w:rPr>
        <w:t xml:space="preserve"> Coordenador de área da Filosofia na CAPES (quadriênio 2018-22)</w:t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, Coordenador do Grupo de Pesquisa em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Neurofilosofia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(Instituto do Cérebro,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InsCer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), Editor da revista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Veritas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, membro do Comitê de Bioética Clínica e membro da comissão coordenadora do Centro Brasileiro de Pesquisas em Democracia, criado em 2009. Criou em 1999 a Sociedade Brasileira de Fenomenologia e foi Coordenador do PPG em Filosofia e membro do Comitê de Ética em Pesquisa da PUCRS, tendo atuado como membro do Comitê Assessor da Área Filosofia junto à CAPES (triênio 2004-06) e como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parecerista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e consultor editorial de vários periódicos especializados. Tem experiência nas áreas de Ética e Filosofia Política, atuando ainda nas áreas de hermenêutica, fenomenologia e idealismo alemão. Organizou 12 eventos internacionais e participou com apresentação de trabalho em mais de 50 eventos (sendo mais de 30 eventos internacionais). Orientou 13 estágios pós-doutorais, 30 dissertações de mestrado e 25 teses de doutorado (concluídas e publicamente defendidas). Publicou 5 livros como autor individual (monografias),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co-organizou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8 volumes e tem mais de 40 artigos publicados em periódicos nacionais e internacionais, tais como Manuscrito, Deutsche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Zeitschrift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für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Philosophie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Veritas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, Filosofia Política, Dois Pontos,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Civitas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, New Nietzsche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Studies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International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Studies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Philosophy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Comparative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and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Continental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Philosophy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e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Rivista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Internazzionale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di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Filosofia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del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Diritto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, e mais de 15 capítulos de livro em coletâneas publicadas pela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Blackwell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Presses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Universitaires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de France, W. de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Gruyter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e editoras universitárias nacionais e estrangeiras.</w:t>
      </w:r>
    </w:p>
    <w:p w:rsidR="00364470" w:rsidRDefault="00364470" w:rsidP="00364470">
      <w:p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color w:val="1D2228"/>
          <w:sz w:val="20"/>
          <w:szCs w:val="20"/>
          <w:lang w:eastAsia="pt-BR"/>
        </w:rPr>
      </w:pPr>
    </w:p>
    <w:p w:rsidR="00364470" w:rsidRDefault="00364470" w:rsidP="00364470">
      <w:p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color w:val="1D2228"/>
          <w:sz w:val="20"/>
          <w:szCs w:val="20"/>
          <w:lang w:eastAsia="pt-BR"/>
        </w:rPr>
      </w:pPr>
    </w:p>
    <w:p w:rsidR="00D36C1C" w:rsidRPr="00364470" w:rsidRDefault="00D36C1C" w:rsidP="00364470"/>
    <w:sectPr w:rsidR="00D36C1C" w:rsidRPr="003644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1C"/>
    <w:rsid w:val="00143718"/>
    <w:rsid w:val="0034159B"/>
    <w:rsid w:val="00364470"/>
    <w:rsid w:val="00B50C01"/>
    <w:rsid w:val="00D36C1C"/>
    <w:rsid w:val="00FA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719A"/>
  <w15:chartTrackingRefBased/>
  <w15:docId w15:val="{1C667995-C904-44E6-B850-EB21F8D2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4159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4159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djvd</dc:creator>
  <cp:keywords/>
  <dc:description/>
  <cp:lastModifiedBy>djvd</cp:lastModifiedBy>
  <cp:revision>3</cp:revision>
  <dcterms:created xsi:type="dcterms:W3CDTF">2019-03-01T16:49:00Z</dcterms:created>
  <dcterms:modified xsi:type="dcterms:W3CDTF">2019-03-01T17:30:00Z</dcterms:modified>
</cp:coreProperties>
</file>